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07" w:rsidRDefault="00E72607" w:rsidP="00E72607">
      <w:pPr>
        <w:pStyle w:val="Default"/>
      </w:pPr>
      <w:bookmarkStart w:id="0" w:name="_GoBack"/>
      <w:bookmarkEnd w:id="0"/>
    </w:p>
    <w:p w:rsidR="00E72607" w:rsidRDefault="00E72607" w:rsidP="00E7260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Beslutningsreferat – møde i Det Nationale Integrationsråd, torsdag d. 30. november 2023</w:t>
      </w:r>
    </w:p>
    <w:p w:rsidR="00E72607" w:rsidRPr="00646928" w:rsidRDefault="00E72607" w:rsidP="00E72607">
      <w:pPr>
        <w:pStyle w:val="Default"/>
        <w:rPr>
          <w:sz w:val="22"/>
          <w:szCs w:val="22"/>
          <w:u w:val="single"/>
        </w:rPr>
      </w:pPr>
      <w:r w:rsidRPr="00646928">
        <w:rPr>
          <w:b/>
          <w:bCs/>
          <w:sz w:val="22"/>
          <w:szCs w:val="22"/>
          <w:u w:val="single"/>
        </w:rPr>
        <w:t xml:space="preserve">Deltagere </w:t>
      </w:r>
    </w:p>
    <w:p w:rsidR="00E72607" w:rsidRPr="00646928" w:rsidRDefault="00E72607" w:rsidP="00E72607">
      <w:pPr>
        <w:pStyle w:val="Default"/>
        <w:rPr>
          <w:b/>
          <w:bCs/>
          <w:sz w:val="22"/>
          <w:szCs w:val="22"/>
        </w:rPr>
      </w:pPr>
    </w:p>
    <w:p w:rsidR="00E72607" w:rsidRPr="00646928" w:rsidRDefault="00E72607" w:rsidP="00E72607">
      <w:pPr>
        <w:pStyle w:val="Default"/>
        <w:rPr>
          <w:sz w:val="22"/>
          <w:szCs w:val="22"/>
        </w:rPr>
      </w:pPr>
      <w:r w:rsidRPr="00646928">
        <w:rPr>
          <w:b/>
          <w:bCs/>
          <w:sz w:val="22"/>
          <w:szCs w:val="22"/>
        </w:rPr>
        <w:t xml:space="preserve">Rådet: </w:t>
      </w:r>
      <w:r w:rsidRPr="00646928">
        <w:rPr>
          <w:sz w:val="22"/>
          <w:szCs w:val="22"/>
        </w:rPr>
        <w:t xml:space="preserve">Maria </w:t>
      </w:r>
      <w:proofErr w:type="spellStart"/>
      <w:r w:rsidRPr="00646928">
        <w:rPr>
          <w:sz w:val="22"/>
          <w:szCs w:val="22"/>
        </w:rPr>
        <w:t>Kavita</w:t>
      </w:r>
      <w:proofErr w:type="spellEnd"/>
      <w:r w:rsidRPr="00646928">
        <w:rPr>
          <w:sz w:val="22"/>
          <w:szCs w:val="22"/>
        </w:rPr>
        <w:t xml:space="preserve"> Nielsen, Madina </w:t>
      </w:r>
      <w:proofErr w:type="spellStart"/>
      <w:r w:rsidRPr="00646928">
        <w:rPr>
          <w:sz w:val="22"/>
          <w:szCs w:val="22"/>
        </w:rPr>
        <w:t>Shafiqi</w:t>
      </w:r>
      <w:proofErr w:type="spellEnd"/>
      <w:r w:rsidRPr="00646928">
        <w:rPr>
          <w:sz w:val="22"/>
          <w:szCs w:val="22"/>
        </w:rPr>
        <w:t xml:space="preserve">, Simon El-Zeinab, Roya Moore, </w:t>
      </w:r>
      <w:proofErr w:type="spellStart"/>
      <w:r w:rsidRPr="00646928">
        <w:rPr>
          <w:sz w:val="22"/>
          <w:szCs w:val="22"/>
        </w:rPr>
        <w:t>Zeljka</w:t>
      </w:r>
      <w:proofErr w:type="spellEnd"/>
      <w:r w:rsidRPr="00646928">
        <w:rPr>
          <w:sz w:val="22"/>
          <w:szCs w:val="22"/>
        </w:rPr>
        <w:t xml:space="preserve"> </w:t>
      </w:r>
      <w:proofErr w:type="spellStart"/>
      <w:r w:rsidRPr="00646928">
        <w:rPr>
          <w:sz w:val="22"/>
          <w:szCs w:val="22"/>
        </w:rPr>
        <w:t>Secerbegovic</w:t>
      </w:r>
      <w:proofErr w:type="spellEnd"/>
      <w:r w:rsidRPr="00646928">
        <w:rPr>
          <w:sz w:val="22"/>
          <w:szCs w:val="22"/>
        </w:rPr>
        <w:t xml:space="preserve">, Thomas Hoffman, Christian Marcussen, </w:t>
      </w:r>
      <w:proofErr w:type="spellStart"/>
      <w:r w:rsidRPr="00646928">
        <w:rPr>
          <w:sz w:val="22"/>
          <w:szCs w:val="22"/>
        </w:rPr>
        <w:t>Desalegn</w:t>
      </w:r>
      <w:proofErr w:type="spellEnd"/>
      <w:r w:rsidRPr="00646928">
        <w:rPr>
          <w:sz w:val="22"/>
          <w:szCs w:val="22"/>
        </w:rPr>
        <w:t xml:space="preserve"> </w:t>
      </w:r>
      <w:proofErr w:type="spellStart"/>
      <w:r w:rsidRPr="00646928">
        <w:rPr>
          <w:sz w:val="22"/>
          <w:szCs w:val="22"/>
        </w:rPr>
        <w:t>Tufa</w:t>
      </w:r>
      <w:proofErr w:type="spellEnd"/>
      <w:r w:rsidRPr="00646928">
        <w:rPr>
          <w:sz w:val="22"/>
          <w:szCs w:val="22"/>
        </w:rPr>
        <w:t xml:space="preserve">, </w:t>
      </w:r>
      <w:proofErr w:type="spellStart"/>
      <w:r w:rsidRPr="00646928">
        <w:rPr>
          <w:sz w:val="22"/>
          <w:szCs w:val="22"/>
        </w:rPr>
        <w:t>Hetav</w:t>
      </w:r>
      <w:proofErr w:type="spellEnd"/>
      <w:r w:rsidRPr="00646928">
        <w:rPr>
          <w:sz w:val="22"/>
          <w:szCs w:val="22"/>
        </w:rPr>
        <w:t xml:space="preserve"> </w:t>
      </w:r>
      <w:proofErr w:type="spellStart"/>
      <w:r w:rsidRPr="00646928">
        <w:rPr>
          <w:sz w:val="22"/>
          <w:szCs w:val="22"/>
        </w:rPr>
        <w:t>Rojan</w:t>
      </w:r>
      <w:proofErr w:type="spellEnd"/>
      <w:r w:rsidRPr="00646928">
        <w:rPr>
          <w:sz w:val="22"/>
          <w:szCs w:val="22"/>
        </w:rPr>
        <w:t xml:space="preserve">, Amma </w:t>
      </w:r>
      <w:proofErr w:type="spellStart"/>
      <w:r w:rsidRPr="00646928">
        <w:rPr>
          <w:sz w:val="22"/>
          <w:szCs w:val="22"/>
        </w:rPr>
        <w:t>Asare-Nyako</w:t>
      </w:r>
      <w:proofErr w:type="spellEnd"/>
      <w:r w:rsidR="00F15504" w:rsidRPr="00646928">
        <w:rPr>
          <w:sz w:val="22"/>
          <w:szCs w:val="22"/>
        </w:rPr>
        <w:t>.</w:t>
      </w:r>
    </w:p>
    <w:p w:rsidR="00E72607" w:rsidRPr="00646928" w:rsidRDefault="00E72607" w:rsidP="00E72607">
      <w:pPr>
        <w:pStyle w:val="Default"/>
        <w:rPr>
          <w:b/>
          <w:bCs/>
          <w:sz w:val="22"/>
          <w:szCs w:val="22"/>
        </w:rPr>
      </w:pPr>
    </w:p>
    <w:p w:rsidR="00E72607" w:rsidRPr="00F47B3C" w:rsidRDefault="00E72607" w:rsidP="00E72607">
      <w:pPr>
        <w:pStyle w:val="Default"/>
        <w:rPr>
          <w:sz w:val="22"/>
          <w:szCs w:val="22"/>
        </w:rPr>
      </w:pPr>
      <w:r w:rsidRPr="00F47B3C">
        <w:rPr>
          <w:b/>
          <w:bCs/>
          <w:sz w:val="22"/>
          <w:szCs w:val="22"/>
        </w:rPr>
        <w:t xml:space="preserve">Sekretariatet: </w:t>
      </w:r>
      <w:r w:rsidRPr="00F47B3C">
        <w:rPr>
          <w:sz w:val="22"/>
          <w:szCs w:val="22"/>
        </w:rPr>
        <w:t>Emilie Bjørn Boisen, Nikolaj Thorbor</w:t>
      </w:r>
      <w:r w:rsidR="00B30C5B">
        <w:rPr>
          <w:sz w:val="22"/>
          <w:szCs w:val="22"/>
        </w:rPr>
        <w:t>g Lynggaard-Hjort, Gustav Mose, Nadja Glavas</w:t>
      </w:r>
    </w:p>
    <w:p w:rsidR="00E72607" w:rsidRPr="00F47B3C" w:rsidRDefault="00E72607" w:rsidP="00E72607">
      <w:pPr>
        <w:pStyle w:val="Default"/>
        <w:rPr>
          <w:b/>
          <w:bCs/>
          <w:sz w:val="22"/>
          <w:szCs w:val="22"/>
        </w:rPr>
      </w:pPr>
    </w:p>
    <w:p w:rsidR="00E72607" w:rsidRPr="00F47B3C" w:rsidRDefault="00E72607" w:rsidP="00E72607">
      <w:pPr>
        <w:pStyle w:val="Default"/>
        <w:rPr>
          <w:sz w:val="22"/>
          <w:szCs w:val="22"/>
        </w:rPr>
      </w:pPr>
      <w:r w:rsidRPr="00F47B3C">
        <w:rPr>
          <w:b/>
          <w:bCs/>
          <w:sz w:val="22"/>
          <w:szCs w:val="22"/>
        </w:rPr>
        <w:t xml:space="preserve">Afbud: </w:t>
      </w:r>
      <w:r w:rsidRPr="00F47B3C">
        <w:rPr>
          <w:sz w:val="22"/>
          <w:szCs w:val="22"/>
        </w:rPr>
        <w:t xml:space="preserve">Muhsin </w:t>
      </w:r>
      <w:proofErr w:type="spellStart"/>
      <w:r w:rsidRPr="00F47B3C">
        <w:rPr>
          <w:sz w:val="22"/>
          <w:szCs w:val="22"/>
        </w:rPr>
        <w:t>Türkilmaz</w:t>
      </w:r>
      <w:proofErr w:type="spellEnd"/>
      <w:r w:rsidRPr="00F47B3C">
        <w:rPr>
          <w:sz w:val="22"/>
          <w:szCs w:val="22"/>
        </w:rPr>
        <w:t xml:space="preserve">, Ilham Mohamed. </w:t>
      </w:r>
    </w:p>
    <w:p w:rsidR="00E72607" w:rsidRPr="00F47B3C" w:rsidRDefault="00E72607" w:rsidP="00E72607">
      <w:pPr>
        <w:pStyle w:val="Default"/>
        <w:rPr>
          <w:b/>
          <w:bCs/>
          <w:sz w:val="22"/>
          <w:szCs w:val="22"/>
        </w:rPr>
      </w:pPr>
    </w:p>
    <w:p w:rsidR="00E72607" w:rsidRPr="00F47B3C" w:rsidRDefault="00E72607" w:rsidP="00E72607">
      <w:pPr>
        <w:pStyle w:val="Default"/>
        <w:rPr>
          <w:sz w:val="22"/>
          <w:szCs w:val="22"/>
        </w:rPr>
      </w:pPr>
      <w:r w:rsidRPr="00F47B3C">
        <w:rPr>
          <w:b/>
          <w:bCs/>
          <w:sz w:val="22"/>
          <w:szCs w:val="22"/>
        </w:rPr>
        <w:t xml:space="preserve">Om referatet </w:t>
      </w:r>
    </w:p>
    <w:p w:rsidR="00E72607" w:rsidRPr="00F47B3C" w:rsidRDefault="00E72607" w:rsidP="00E72607">
      <w:pPr>
        <w:pStyle w:val="Default"/>
        <w:rPr>
          <w:sz w:val="22"/>
          <w:szCs w:val="22"/>
        </w:rPr>
      </w:pPr>
      <w:r w:rsidRPr="00F47B3C">
        <w:rPr>
          <w:sz w:val="22"/>
          <w:szCs w:val="22"/>
        </w:rPr>
        <w:t xml:space="preserve">Dette er et beslutningsreferat. Derfor indeholder referatet kun de punkter, hvor der blev taget beslutninger, samt relevant baggrundsinformation for de beslutninger. </w:t>
      </w:r>
    </w:p>
    <w:p w:rsidR="00E72607" w:rsidRPr="00F47B3C" w:rsidRDefault="00E72607" w:rsidP="00E72607">
      <w:pPr>
        <w:pStyle w:val="Default"/>
        <w:rPr>
          <w:sz w:val="22"/>
          <w:szCs w:val="22"/>
        </w:rPr>
      </w:pPr>
    </w:p>
    <w:p w:rsidR="004D61B2" w:rsidRPr="00F47B3C" w:rsidRDefault="00E72607" w:rsidP="00E72607">
      <w:r w:rsidRPr="00F47B3C">
        <w:t>Dagsordenen for mødet kan findes på Rådets hjemmeside.</w:t>
      </w:r>
    </w:p>
    <w:p w:rsidR="002D749E" w:rsidRPr="00F47B3C" w:rsidRDefault="002D749E" w:rsidP="00E72607">
      <w:pPr>
        <w:rPr>
          <w:b/>
        </w:rPr>
      </w:pPr>
      <w:r w:rsidRPr="00F47B3C">
        <w:rPr>
          <w:b/>
        </w:rPr>
        <w:t>Punkt 2: Workshop i de enkelte udvalg</w:t>
      </w:r>
    </w:p>
    <w:p w:rsidR="00F15504" w:rsidRPr="00F47B3C" w:rsidRDefault="002D749E" w:rsidP="00E72607">
      <w:pPr>
        <w:rPr>
          <w:u w:val="single"/>
        </w:rPr>
      </w:pPr>
      <w:r w:rsidRPr="00F47B3C">
        <w:rPr>
          <w:u w:val="single"/>
        </w:rPr>
        <w:t xml:space="preserve">Udvalget for sammenhængskraft og negativ social kontrol </w:t>
      </w:r>
    </w:p>
    <w:p w:rsidR="002D749E" w:rsidRPr="00F47B3C" w:rsidRDefault="00F15504" w:rsidP="00E72607">
      <w:r w:rsidRPr="00F47B3C">
        <w:t>D</w:t>
      </w:r>
      <w:r w:rsidR="002D749E" w:rsidRPr="00F47B3C">
        <w:t>et</w:t>
      </w:r>
      <w:r w:rsidRPr="00F47B3C">
        <w:t xml:space="preserve"> blev</w:t>
      </w:r>
      <w:r w:rsidR="002D749E" w:rsidRPr="00F47B3C">
        <w:t xml:space="preserve"> besluttet at forsøge at arbejde videre ad to spor: </w:t>
      </w:r>
    </w:p>
    <w:p w:rsidR="002D749E" w:rsidRPr="00F47B3C" w:rsidRDefault="002D749E" w:rsidP="002D749E">
      <w:pPr>
        <w:pStyle w:val="Listeafsnit"/>
        <w:numPr>
          <w:ilvl w:val="0"/>
          <w:numId w:val="1"/>
        </w:numPr>
      </w:pPr>
      <w:r w:rsidRPr="00F47B3C">
        <w:t>Rådet skal stå på viden inden for feltet, før der udarbejdes</w:t>
      </w:r>
      <w:r w:rsidR="00F15504" w:rsidRPr="00F47B3C">
        <w:t xml:space="preserve"> deciderede</w:t>
      </w:r>
      <w:r w:rsidRPr="00F47B3C">
        <w:t xml:space="preserve"> anbefalinger</w:t>
      </w:r>
      <w:r w:rsidR="00F15504" w:rsidRPr="00F47B3C">
        <w:t xml:space="preserve"> </w:t>
      </w:r>
      <w:proofErr w:type="spellStart"/>
      <w:r w:rsidR="00F15504" w:rsidRPr="00F47B3C">
        <w:t>el.l</w:t>
      </w:r>
      <w:proofErr w:type="spellEnd"/>
      <w:r w:rsidRPr="00F47B3C">
        <w:t>. Der arbejdes videre med at skaffe denne viden og evt. lave egne undersøgelser inden for ét eller flere emner.</w:t>
      </w:r>
    </w:p>
    <w:p w:rsidR="002D749E" w:rsidRPr="00F47B3C" w:rsidRDefault="002D749E" w:rsidP="002D749E">
      <w:pPr>
        <w:pStyle w:val="Listeafsnit"/>
        <w:numPr>
          <w:ilvl w:val="0"/>
          <w:numId w:val="1"/>
        </w:numPr>
      </w:pPr>
      <w:r w:rsidRPr="00F47B3C">
        <w:t xml:space="preserve">Udarbejde et debatindlæg </w:t>
      </w:r>
      <w:proofErr w:type="spellStart"/>
      <w:r w:rsidRPr="00F47B3C">
        <w:t>el.l</w:t>
      </w:r>
      <w:proofErr w:type="spellEnd"/>
      <w:r w:rsidRPr="00F47B3C">
        <w:t xml:space="preserve">., der ikke udgør deciderede anbefalinger, men som viser de forskellige </w:t>
      </w:r>
      <w:r w:rsidR="00F15504" w:rsidRPr="00F47B3C">
        <w:t xml:space="preserve">(og nogle gange modsatrettede) </w:t>
      </w:r>
      <w:r w:rsidRPr="00F47B3C">
        <w:t xml:space="preserve">nuancer </w:t>
      </w:r>
      <w:r w:rsidR="00F15504" w:rsidRPr="00F47B3C">
        <w:t xml:space="preserve">og perspektiver der kan opstå i debatten om negativ social kontrol. </w:t>
      </w:r>
    </w:p>
    <w:p w:rsidR="00F15504" w:rsidRPr="00F47B3C" w:rsidRDefault="00F15504" w:rsidP="00F15504">
      <w:pPr>
        <w:rPr>
          <w:u w:val="single"/>
        </w:rPr>
      </w:pPr>
      <w:r w:rsidRPr="00F47B3C">
        <w:rPr>
          <w:u w:val="single"/>
        </w:rPr>
        <w:t>Udvalget for kvinder i beskæftigelse</w:t>
      </w:r>
    </w:p>
    <w:p w:rsidR="00F15504" w:rsidRPr="00F47B3C" w:rsidRDefault="00F15504" w:rsidP="00F15504">
      <w:r w:rsidRPr="00F47B3C">
        <w:t xml:space="preserve">Der blev ikke taget beslutning om at gå videre med et policy papir </w:t>
      </w:r>
      <w:proofErr w:type="spellStart"/>
      <w:r w:rsidRPr="00F47B3C">
        <w:t>el.l</w:t>
      </w:r>
      <w:proofErr w:type="spellEnd"/>
      <w:r w:rsidRPr="00F47B3C">
        <w:t xml:space="preserve">. </w:t>
      </w:r>
    </w:p>
    <w:p w:rsidR="00F15504" w:rsidRPr="00F47B3C" w:rsidRDefault="00F15504" w:rsidP="00F15504">
      <w:pPr>
        <w:rPr>
          <w:u w:val="single"/>
        </w:rPr>
      </w:pPr>
      <w:r w:rsidRPr="00F47B3C">
        <w:rPr>
          <w:u w:val="single"/>
        </w:rPr>
        <w:t>Udvalget for unge</w:t>
      </w:r>
    </w:p>
    <w:p w:rsidR="00F15504" w:rsidRPr="00F47B3C" w:rsidRDefault="00F15504" w:rsidP="00F15504">
      <w:r w:rsidRPr="00F47B3C">
        <w:t xml:space="preserve">Det blev besluttet at arbejde videre med et decideret policy papir, ud fra det udkast, udvalget har udarbejdet. </w:t>
      </w:r>
    </w:p>
    <w:p w:rsidR="00F15504" w:rsidRPr="00F47B3C" w:rsidRDefault="00F15504" w:rsidP="00F15504">
      <w:r w:rsidRPr="00F47B3C">
        <w:t>Policy papiret skal være mere skarpe på bl.a. målgruppen og på det statistiske/</w:t>
      </w:r>
      <w:proofErr w:type="spellStart"/>
      <w:r w:rsidRPr="00F47B3C">
        <w:t>vidensmæssige</w:t>
      </w:r>
      <w:proofErr w:type="spellEnd"/>
      <w:r w:rsidRPr="00F47B3C">
        <w:t xml:space="preserve"> grundlag for anbefalingerne (særligt sammenhængen mellem statsborgerskabets tildeling og positive integrationseffekter). </w:t>
      </w:r>
    </w:p>
    <w:p w:rsidR="00F15504" w:rsidRPr="00F47B3C" w:rsidRDefault="00F15504" w:rsidP="00F15504">
      <w:r w:rsidRPr="00F47B3C">
        <w:t xml:space="preserve">Det blev endvidere besluttet at arbejde videre med at dele anbefalingerne op i to spor: De mere politiske til lovgivningen, og de mere administrative. </w:t>
      </w:r>
    </w:p>
    <w:p w:rsidR="00F15504" w:rsidRPr="00F47B3C" w:rsidRDefault="00F15504" w:rsidP="00F15504">
      <w:r w:rsidRPr="00F47B3C">
        <w:t xml:space="preserve">Sekretariatet skriver et nyt udkast, som efter planen skal diskuteres på næstkommende rådsmøde. </w:t>
      </w:r>
    </w:p>
    <w:p w:rsidR="00F15504" w:rsidRPr="00F47B3C" w:rsidRDefault="00F15504" w:rsidP="00F15504">
      <w:pPr>
        <w:rPr>
          <w:b/>
        </w:rPr>
      </w:pPr>
      <w:r w:rsidRPr="00F47B3C">
        <w:rPr>
          <w:b/>
        </w:rPr>
        <w:lastRenderedPageBreak/>
        <w:t>Punkt 3: Integration af internationale arbejdstagere for at understøtte velfærdssektorerne</w:t>
      </w:r>
    </w:p>
    <w:p w:rsidR="00F15504" w:rsidRPr="00F47B3C" w:rsidRDefault="00F15504" w:rsidP="00F15504">
      <w:r w:rsidRPr="00F47B3C">
        <w:t xml:space="preserve">På baggrund af oplæg fra de nævnte forskere, samt sekretariatets oplæg, blev det besluttet at gå videre med at udarbejde et policy papir/debatindlæg. Dette skal sætte fokus på, at der er et integrationsbehov for internationale arbejdstagere, og beskrive de væsentligste </w:t>
      </w:r>
      <w:r w:rsidR="00B733FF" w:rsidRPr="00F47B3C">
        <w:t>udfordringer og handlemuligheder ud fra den relevante viden på området.</w:t>
      </w:r>
    </w:p>
    <w:p w:rsidR="00B733FF" w:rsidRPr="00F47B3C" w:rsidRDefault="00B733FF" w:rsidP="00B733FF">
      <w:pPr>
        <w:spacing w:line="240" w:lineRule="auto"/>
        <w:rPr>
          <w:rFonts w:ascii="Calibri" w:eastAsia="Calibri" w:hAnsi="Calibri"/>
          <w:b/>
        </w:rPr>
      </w:pPr>
      <w:r w:rsidRPr="00F47B3C">
        <w:rPr>
          <w:b/>
        </w:rPr>
        <w:t xml:space="preserve">Punkt 4: </w:t>
      </w:r>
      <w:r w:rsidRPr="00F47B3C">
        <w:rPr>
          <w:rFonts w:ascii="Calibri" w:eastAsia="Calibri" w:hAnsi="Calibri"/>
          <w:b/>
        </w:rPr>
        <w:t>Tanker og perspektiver på Rådets virke det første år</w:t>
      </w:r>
    </w:p>
    <w:p w:rsidR="00B733FF" w:rsidRPr="00F47B3C" w:rsidRDefault="00B733FF" w:rsidP="00F15504">
      <w:r w:rsidRPr="00F47B3C">
        <w:t xml:space="preserve">Det blev besluttet at fortsætte med rådsmøder efter nogenlunde samme metode som for nuværende. 3-4 timer én gang i kvartalet passer godt, hvor der både skal være </w:t>
      </w:r>
      <w:proofErr w:type="spellStart"/>
      <w:r w:rsidRPr="00F47B3C">
        <w:t>vidensoplæg</w:t>
      </w:r>
      <w:proofErr w:type="spellEnd"/>
      <w:r w:rsidRPr="00F47B3C">
        <w:t xml:space="preserve"> og mulighed for at diskutere på baggrund af denne viden. Forberedelsen af medlemmerne til møderne kan være mere grundig, men er også begrænset af sekretariatets tid. </w:t>
      </w:r>
    </w:p>
    <w:p w:rsidR="00B733FF" w:rsidRPr="00F47B3C" w:rsidRDefault="00B733FF" w:rsidP="00F15504">
      <w:r w:rsidRPr="00F47B3C">
        <w:t xml:space="preserve">Det fungerer også fint at indkalde til ad hoc-møder der kan tage stilling til specifikke problemstillinger, hvis der opstår relevante sager </w:t>
      </w:r>
      <w:proofErr w:type="spellStart"/>
      <w:r w:rsidRPr="00F47B3C">
        <w:t>el.l</w:t>
      </w:r>
      <w:proofErr w:type="spellEnd"/>
      <w:r w:rsidRPr="00F47B3C">
        <w:t xml:space="preserve">., som Rådet skal tage stilling til mellem rådsmøderne. Her deltager de medlemmer, der har tid, mulighed og lyst til det. </w:t>
      </w:r>
    </w:p>
    <w:p w:rsidR="00F15504" w:rsidRPr="00F15504" w:rsidRDefault="00F15504" w:rsidP="00F15504">
      <w:pPr>
        <w:rPr>
          <w:b/>
        </w:rPr>
      </w:pPr>
    </w:p>
    <w:sectPr w:rsidR="00F15504" w:rsidRPr="00F1550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10" w:rsidRDefault="005E5D10" w:rsidP="00646928">
      <w:pPr>
        <w:spacing w:after="0" w:line="240" w:lineRule="auto"/>
      </w:pPr>
      <w:r>
        <w:separator/>
      </w:r>
    </w:p>
  </w:endnote>
  <w:endnote w:type="continuationSeparator" w:id="0">
    <w:p w:rsidR="005E5D10" w:rsidRDefault="005E5D10" w:rsidP="0064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10" w:rsidRDefault="005E5D10" w:rsidP="00646928">
      <w:pPr>
        <w:spacing w:after="0" w:line="240" w:lineRule="auto"/>
      </w:pPr>
      <w:r>
        <w:separator/>
      </w:r>
    </w:p>
  </w:footnote>
  <w:footnote w:type="continuationSeparator" w:id="0">
    <w:p w:rsidR="005E5D10" w:rsidRDefault="005E5D10" w:rsidP="0064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28" w:rsidRDefault="00646928" w:rsidP="00646928">
    <w:pPr>
      <w:pStyle w:val="Sidehoved"/>
      <w:jc w:val="right"/>
      <w:rPr>
        <w:rFonts w:ascii="Bahnschrift SemiBold" w:hAnsi="Bahnschrift SemiBold"/>
        <w:sz w:val="24"/>
      </w:rPr>
    </w:pPr>
    <w:r>
      <w:rPr>
        <w:rFonts w:ascii="Bahnschrift SemiBold" w:hAnsi="Bahnschrift SemiBold"/>
        <w:sz w:val="24"/>
      </w:rPr>
      <w:t>Det Nationale Integrationsråd</w:t>
    </w:r>
  </w:p>
  <w:p w:rsidR="00646928" w:rsidRDefault="00646928" w:rsidP="00646928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971B372" wp14:editId="29FDFC40">
          <wp:simplePos x="0" y="0"/>
          <wp:positionH relativeFrom="margin">
            <wp:posOffset>4118776</wp:posOffset>
          </wp:positionH>
          <wp:positionV relativeFrom="margin">
            <wp:posOffset>-431745</wp:posOffset>
          </wp:positionV>
          <wp:extent cx="2000250" cy="45085"/>
          <wp:effectExtent l="0" t="0" r="0" b="0"/>
          <wp:wrapSquare wrapText="bothSides"/>
          <wp:docPr id="1" name="Billede 1" descr="REM LOGO - 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EM LOGO - 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54C"/>
    <w:multiLevelType w:val="hybridMultilevel"/>
    <w:tmpl w:val="AEF0A7B6"/>
    <w:lvl w:ilvl="0" w:tplc="D3CE3AB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81"/>
    <w:rsid w:val="00016900"/>
    <w:rsid w:val="00016EE2"/>
    <w:rsid w:val="00030166"/>
    <w:rsid w:val="000462D1"/>
    <w:rsid w:val="000B18FF"/>
    <w:rsid w:val="000F3583"/>
    <w:rsid w:val="00131540"/>
    <w:rsid w:val="00134E4E"/>
    <w:rsid w:val="00143203"/>
    <w:rsid w:val="001462B2"/>
    <w:rsid w:val="001606F7"/>
    <w:rsid w:val="00174D5B"/>
    <w:rsid w:val="00183D78"/>
    <w:rsid w:val="0018445F"/>
    <w:rsid w:val="002049A0"/>
    <w:rsid w:val="00216048"/>
    <w:rsid w:val="00267310"/>
    <w:rsid w:val="002927D7"/>
    <w:rsid w:val="002C39E7"/>
    <w:rsid w:val="002D749E"/>
    <w:rsid w:val="002F3454"/>
    <w:rsid w:val="00321465"/>
    <w:rsid w:val="00325419"/>
    <w:rsid w:val="00363495"/>
    <w:rsid w:val="003668DB"/>
    <w:rsid w:val="003A46D4"/>
    <w:rsid w:val="003C289B"/>
    <w:rsid w:val="003C47B1"/>
    <w:rsid w:val="003F41FB"/>
    <w:rsid w:val="00481270"/>
    <w:rsid w:val="004977D4"/>
    <w:rsid w:val="004B168D"/>
    <w:rsid w:val="004D61B2"/>
    <w:rsid w:val="00535E27"/>
    <w:rsid w:val="00555990"/>
    <w:rsid w:val="00560421"/>
    <w:rsid w:val="005926EE"/>
    <w:rsid w:val="005A0303"/>
    <w:rsid w:val="005C4CF8"/>
    <w:rsid w:val="005D24E4"/>
    <w:rsid w:val="005E3444"/>
    <w:rsid w:val="005E5D10"/>
    <w:rsid w:val="005E6AD3"/>
    <w:rsid w:val="00603FEA"/>
    <w:rsid w:val="00607533"/>
    <w:rsid w:val="006434E5"/>
    <w:rsid w:val="00646928"/>
    <w:rsid w:val="00650C22"/>
    <w:rsid w:val="006553C0"/>
    <w:rsid w:val="00665E50"/>
    <w:rsid w:val="006833B9"/>
    <w:rsid w:val="0069057D"/>
    <w:rsid w:val="006A28FB"/>
    <w:rsid w:val="006E3CC6"/>
    <w:rsid w:val="006F1054"/>
    <w:rsid w:val="00705B9D"/>
    <w:rsid w:val="007221E3"/>
    <w:rsid w:val="0078230E"/>
    <w:rsid w:val="007B06C2"/>
    <w:rsid w:val="00833A2D"/>
    <w:rsid w:val="008460BF"/>
    <w:rsid w:val="0086393D"/>
    <w:rsid w:val="008719EB"/>
    <w:rsid w:val="008A6BB0"/>
    <w:rsid w:val="008B70EA"/>
    <w:rsid w:val="008B72A4"/>
    <w:rsid w:val="008F1F3C"/>
    <w:rsid w:val="009032E0"/>
    <w:rsid w:val="00912E81"/>
    <w:rsid w:val="0091426E"/>
    <w:rsid w:val="00921A2A"/>
    <w:rsid w:val="00925768"/>
    <w:rsid w:val="0093270C"/>
    <w:rsid w:val="00981160"/>
    <w:rsid w:val="009C6F5B"/>
    <w:rsid w:val="009E0432"/>
    <w:rsid w:val="00A86F59"/>
    <w:rsid w:val="00AB6A43"/>
    <w:rsid w:val="00AC3D2F"/>
    <w:rsid w:val="00AD6B49"/>
    <w:rsid w:val="00AE0F06"/>
    <w:rsid w:val="00AE14B7"/>
    <w:rsid w:val="00AE556F"/>
    <w:rsid w:val="00B26DAD"/>
    <w:rsid w:val="00B30C5B"/>
    <w:rsid w:val="00B31E56"/>
    <w:rsid w:val="00B5698F"/>
    <w:rsid w:val="00B733FF"/>
    <w:rsid w:val="00B860A2"/>
    <w:rsid w:val="00B93246"/>
    <w:rsid w:val="00BB34DC"/>
    <w:rsid w:val="00BF2CAF"/>
    <w:rsid w:val="00C05997"/>
    <w:rsid w:val="00C22349"/>
    <w:rsid w:val="00C24288"/>
    <w:rsid w:val="00C2767A"/>
    <w:rsid w:val="00C61CB5"/>
    <w:rsid w:val="00C72244"/>
    <w:rsid w:val="00C74E52"/>
    <w:rsid w:val="00C7707D"/>
    <w:rsid w:val="00C91E2D"/>
    <w:rsid w:val="00CA1656"/>
    <w:rsid w:val="00CC1AAF"/>
    <w:rsid w:val="00CF1770"/>
    <w:rsid w:val="00D5574D"/>
    <w:rsid w:val="00D66BB0"/>
    <w:rsid w:val="00D7542D"/>
    <w:rsid w:val="00DA688D"/>
    <w:rsid w:val="00DE0039"/>
    <w:rsid w:val="00E04D58"/>
    <w:rsid w:val="00E14786"/>
    <w:rsid w:val="00E1745A"/>
    <w:rsid w:val="00E34D65"/>
    <w:rsid w:val="00E708F8"/>
    <w:rsid w:val="00E72607"/>
    <w:rsid w:val="00EC1096"/>
    <w:rsid w:val="00EF6A96"/>
    <w:rsid w:val="00F0772A"/>
    <w:rsid w:val="00F15504"/>
    <w:rsid w:val="00F15FCA"/>
    <w:rsid w:val="00F47B3C"/>
    <w:rsid w:val="00F554BD"/>
    <w:rsid w:val="00F61AD2"/>
    <w:rsid w:val="00F94F12"/>
    <w:rsid w:val="00FB4E5F"/>
    <w:rsid w:val="00FB5A83"/>
    <w:rsid w:val="00FC009A"/>
    <w:rsid w:val="00FC78E8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182E-2323-4790-A801-40C9A92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7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2D749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46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6928"/>
  </w:style>
  <w:style w:type="paragraph" w:styleId="Sidefod">
    <w:name w:val="footer"/>
    <w:basedOn w:val="Normal"/>
    <w:link w:val="SidefodTegn"/>
    <w:uiPriority w:val="99"/>
    <w:unhideWhenUsed/>
    <w:rsid w:val="00646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0154\AppData\Local\cBrain\F2\.tmp\3abcefcda4484c35873f0ae4b713a49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3abcefcda4484c35873f0ae4b713a498.dotx</Template>
  <TotalTime>0</TotalTime>
  <Pages>2</Pages>
  <Words>427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Nikolaj Thorborg Lynggaard-Hjort</dc:creator>
  <cp:lastModifiedBy>Cathrine Dieu Uhrenholt</cp:lastModifiedBy>
  <cp:revision>2</cp:revision>
  <dcterms:created xsi:type="dcterms:W3CDTF">2025-04-07T07:24:00Z</dcterms:created>
  <dcterms:modified xsi:type="dcterms:W3CDTF">2025-04-07T07:24:00Z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